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ПРОЕКТ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Ханты-Мансийский автономный округ-Югра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(Тюменская область)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Нижневартовский район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</w:t>
      </w:r>
    </w:p>
    <w:p>
      <w:pPr>
        <w:jc w:val="center"/>
        <w:rPr>
          <w:rFonts w:hint="default"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Вата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>
      <w:pPr>
        <w:pStyle w:val="18"/>
        <w:keepNext/>
        <w:keepLines/>
        <w:shd w:val="clear" w:color="auto" w:fill="auto"/>
        <w:spacing w:before="0" w:after="0" w:line="254" w:lineRule="exact"/>
        <w:rPr>
          <w:rFonts w:eastAsia="Microsoft Sans Serif"/>
          <w:b w:val="0"/>
          <w:bCs w:val="0"/>
          <w:sz w:val="28"/>
          <w:szCs w:val="28"/>
        </w:rPr>
      </w:pPr>
    </w:p>
    <w:p>
      <w:pPr>
        <w:pStyle w:val="18"/>
        <w:keepNext/>
        <w:keepLines/>
        <w:shd w:val="clear" w:color="auto" w:fill="auto"/>
        <w:spacing w:before="0" w:after="0" w:line="254" w:lineRule="exact"/>
        <w:rPr>
          <w:rFonts w:hint="default"/>
          <w:b w:val="0"/>
          <w:sz w:val="28"/>
          <w:szCs w:val="28"/>
          <w:u w:val="single"/>
          <w:lang w:val="ru-RU"/>
        </w:rPr>
      </w:pPr>
      <w:r>
        <w:rPr>
          <w:b w:val="0"/>
          <w:sz w:val="28"/>
          <w:szCs w:val="28"/>
          <w:u w:val="single"/>
        </w:rPr>
        <w:t xml:space="preserve">от </w:t>
      </w:r>
      <w:r>
        <w:rPr>
          <w:rFonts w:hint="default"/>
          <w:b w:val="0"/>
          <w:sz w:val="28"/>
          <w:szCs w:val="28"/>
          <w:u w:val="single"/>
          <w:lang w:val="ru-RU"/>
        </w:rPr>
        <w:t>2023</w:t>
      </w:r>
      <w:r>
        <w:rPr>
          <w:b w:val="0"/>
          <w:sz w:val="28"/>
          <w:szCs w:val="28"/>
          <w:u w:val="single"/>
        </w:rPr>
        <w:t xml:space="preserve"> года</w:t>
      </w:r>
      <w:r>
        <w:rPr>
          <w:b w:val="0"/>
          <w:sz w:val="28"/>
          <w:szCs w:val="28"/>
        </w:rPr>
        <w:t xml:space="preserve">                                                                                    </w:t>
      </w:r>
      <w:r>
        <w:rPr>
          <w:b w:val="0"/>
          <w:sz w:val="28"/>
          <w:szCs w:val="28"/>
          <w:u w:val="single"/>
        </w:rPr>
        <w:t xml:space="preserve">№ </w:t>
      </w:r>
    </w:p>
    <w:p>
      <w:pPr>
        <w:pStyle w:val="9"/>
        <w:shd w:val="clear" w:color="auto" w:fill="auto"/>
        <w:tabs>
          <w:tab w:val="right" w:pos="4518"/>
        </w:tabs>
        <w:spacing w:before="0" w:after="0" w:line="274" w:lineRule="exact"/>
      </w:pPr>
      <w:r>
        <w:t xml:space="preserve"> </w:t>
      </w:r>
    </w:p>
    <w:p>
      <w:pPr>
        <w:pStyle w:val="9"/>
        <w:shd w:val="clear" w:color="auto" w:fill="auto"/>
        <w:tabs>
          <w:tab w:val="right" w:pos="4518"/>
        </w:tabs>
        <w:spacing w:before="0" w:after="0" w:line="274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«Об утверждении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Программы</w:t>
      </w:r>
    </w:p>
    <w:p>
      <w:pPr>
        <w:pStyle w:val="9"/>
        <w:shd w:val="clear" w:color="auto" w:fill="auto"/>
        <w:tabs>
          <w:tab w:val="right" w:pos="4518"/>
        </w:tabs>
        <w:spacing w:before="0" w:after="0" w:line="274" w:lineRule="exact"/>
        <w:ind w:right="48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в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сельском поселении </w:t>
      </w:r>
      <w:r>
        <w:rPr>
          <w:b w:val="0"/>
          <w:sz w:val="28"/>
          <w:szCs w:val="28"/>
          <w:lang w:val="ru-RU"/>
        </w:rPr>
        <w:t>Вата</w:t>
      </w:r>
      <w:r>
        <w:rPr>
          <w:b w:val="0"/>
          <w:sz w:val="28"/>
          <w:szCs w:val="28"/>
        </w:rPr>
        <w:t xml:space="preserve"> 202</w:t>
      </w:r>
      <w:r>
        <w:rPr>
          <w:rFonts w:hint="default"/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 xml:space="preserve"> год»</w:t>
      </w:r>
    </w:p>
    <w:p>
      <w:pPr>
        <w:pStyle w:val="11"/>
        <w:shd w:val="clear" w:color="auto" w:fill="auto"/>
        <w:spacing w:before="0" w:after="264"/>
        <w:ind w:firstLine="760"/>
        <w:rPr>
          <w:sz w:val="28"/>
          <w:szCs w:val="28"/>
        </w:rPr>
      </w:pPr>
    </w:p>
    <w:p>
      <w:pPr>
        <w:pStyle w:val="11"/>
        <w:shd w:val="clear" w:color="auto" w:fill="auto"/>
        <w:spacing w:before="0" w:after="264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руководствуясь Уставом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>: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1005"/>
        </w:tabs>
        <w:spacing w:before="0" w:after="0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в сельском поселении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 xml:space="preserve">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год, согласно приложению № 1.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1005"/>
        </w:tabs>
        <w:spacing w:before="0" w:after="0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Обнародовать (опубликовать) настоящее постановление на официальном сайте администрации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 xml:space="preserve"> (</w:t>
      </w:r>
      <w:r>
        <w:fldChar w:fldCharType="begin"/>
      </w:r>
      <w:r>
        <w:instrText xml:space="preserve"> HYPERLINK "http://zaik-adm.ru/" </w:instrText>
      </w:r>
      <w:r>
        <w:fldChar w:fldCharType="separate"/>
      </w:r>
      <w:r>
        <w:rPr>
          <w:rStyle w:val="4"/>
          <w:sz w:val="28"/>
          <w:szCs w:val="28"/>
        </w:rPr>
        <w:t>http://</w:t>
      </w:r>
      <w:r>
        <w:rPr>
          <w:rStyle w:val="4"/>
          <w:rFonts w:hint="default"/>
          <w:sz w:val="28"/>
          <w:szCs w:val="28"/>
          <w:lang w:val="en-US"/>
        </w:rPr>
        <w:t>adminvata</w:t>
      </w:r>
      <w:r>
        <w:rPr>
          <w:rStyle w:val="4"/>
          <w:sz w:val="28"/>
          <w:szCs w:val="28"/>
        </w:rPr>
        <w:t>.ru/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).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1051"/>
        </w:tabs>
        <w:spacing w:before="0" w:after="984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>
      <w:pPr>
        <w:pStyle w:val="11"/>
        <w:numPr>
          <w:ilvl w:val="0"/>
          <w:numId w:val="0"/>
        </w:numPr>
        <w:shd w:val="clear" w:color="auto" w:fill="auto"/>
        <w:tabs>
          <w:tab w:val="left" w:pos="1051"/>
        </w:tabs>
        <w:spacing w:before="0" w:after="984"/>
        <w:rPr>
          <w:sz w:val="28"/>
          <w:szCs w:val="28"/>
        </w:rPr>
        <w:sectPr>
          <w:pgSz w:w="11900" w:h="16840"/>
          <w:pgMar w:top="1162" w:right="822" w:bottom="1162" w:left="1669" w:header="0" w:footer="3" w:gutter="0"/>
          <w:cols w:space="720" w:num="1"/>
          <w:docGrid w:linePitch="360" w:charSpace="0"/>
        </w:sectPr>
      </w:pPr>
      <w:r>
        <w:rPr>
          <w:rFonts w:hint="default"/>
          <w:sz w:val="28"/>
          <w:szCs w:val="28"/>
          <w:lang w:val="ru-RU"/>
        </w:rPr>
        <w:t>Глава сельского поселения Вата                                                           М.В. Функ</w:t>
      </w:r>
    </w:p>
    <w:p>
      <w:pPr>
        <w:pStyle w:val="11"/>
        <w:shd w:val="clear" w:color="auto" w:fill="auto"/>
        <w:spacing w:before="0" w:after="0" w:line="220" w:lineRule="exact"/>
        <w:jc w:val="right"/>
      </w:pPr>
      <w:r>
        <w:t>Приложение № 1</w:t>
      </w:r>
    </w:p>
    <w:p>
      <w:pPr>
        <w:pStyle w:val="11"/>
        <w:shd w:val="clear" w:color="auto" w:fill="auto"/>
        <w:spacing w:before="0" w:after="0"/>
        <w:ind w:left="4300"/>
        <w:jc w:val="right"/>
      </w:pPr>
      <w:r>
        <w:t xml:space="preserve">к постановлению администрации </w:t>
      </w:r>
    </w:p>
    <w:p>
      <w:pPr>
        <w:pStyle w:val="11"/>
        <w:shd w:val="clear" w:color="auto" w:fill="auto"/>
        <w:spacing w:before="0" w:after="0"/>
        <w:ind w:left="4300"/>
        <w:jc w:val="right"/>
      </w:pPr>
      <w:r>
        <w:t xml:space="preserve">сельского поселения </w:t>
      </w:r>
      <w:r>
        <w:rPr>
          <w:lang w:val="ru-RU"/>
        </w:rPr>
        <w:t>Вата</w:t>
      </w:r>
      <w:r>
        <w:t xml:space="preserve"> </w:t>
      </w:r>
    </w:p>
    <w:p>
      <w:pPr>
        <w:pStyle w:val="11"/>
        <w:shd w:val="clear" w:color="auto" w:fill="auto"/>
        <w:spacing w:before="0" w:after="0"/>
        <w:ind w:left="4300"/>
        <w:jc w:val="right"/>
        <w:rPr>
          <w:rFonts w:hint="default"/>
          <w:lang w:val="ru-RU"/>
        </w:rPr>
      </w:pPr>
      <w:r>
        <w:t xml:space="preserve">от </w:t>
      </w:r>
      <w:r>
        <w:rPr>
          <w:rFonts w:hint="default"/>
          <w:lang w:val="ru-RU"/>
        </w:rPr>
        <w:t>2023</w:t>
      </w:r>
      <w:r>
        <w:t xml:space="preserve"> года № </w:t>
      </w:r>
    </w:p>
    <w:p>
      <w:pPr>
        <w:pStyle w:val="11"/>
        <w:shd w:val="clear" w:color="auto" w:fill="auto"/>
        <w:spacing w:before="0" w:after="180"/>
        <w:jc w:val="center"/>
      </w:pPr>
    </w:p>
    <w:p>
      <w:pPr>
        <w:pStyle w:val="11"/>
        <w:shd w:val="clear" w:color="auto" w:fill="auto"/>
        <w:spacing w:before="0" w:after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сельском поселении </w:t>
      </w:r>
      <w:r>
        <w:rPr>
          <w:b/>
          <w:sz w:val="28"/>
          <w:szCs w:val="28"/>
          <w:lang w:val="ru-RU"/>
        </w:rPr>
        <w:t>Вата</w:t>
      </w:r>
      <w:r>
        <w:rPr>
          <w:b/>
          <w:sz w:val="28"/>
          <w:szCs w:val="28"/>
        </w:rPr>
        <w:t xml:space="preserve"> на 202</w:t>
      </w:r>
      <w:r>
        <w:rPr>
          <w:rFonts w:hint="default"/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год</w:t>
      </w:r>
    </w:p>
    <w:p>
      <w:pPr>
        <w:pStyle w:val="11"/>
        <w:shd w:val="clear" w:color="auto" w:fill="auto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 xml:space="preserve"> осуществляется муниципальный контроль в сфере благоустройства: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Функции муниципального контроля осуществляет - администрация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>.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внеплановых проверок соблюдения правил благоустройства в сельском поселении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>, согласно нормативно правовых актов сельского поселения (далее - сельское поселение).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>
      <w:pPr>
        <w:pStyle w:val="11"/>
        <w:shd w:val="clear" w:color="auto" w:fill="auto"/>
        <w:tabs>
          <w:tab w:val="left" w:pos="836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z w:val="28"/>
          <w:szCs w:val="28"/>
        </w:rPr>
        <w:t>не сформировано понимание исполнения требований в сфере благоустройства у подконтрольных субъектов;</w:t>
      </w:r>
    </w:p>
    <w:p>
      <w:pPr>
        <w:pStyle w:val="11"/>
        <w:shd w:val="clear" w:color="auto" w:fill="auto"/>
        <w:tabs>
          <w:tab w:val="left" w:pos="1017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z w:val="28"/>
          <w:szCs w:val="28"/>
        </w:rPr>
        <w:t>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>
      <w:pPr>
        <w:pStyle w:val="11"/>
        <w:shd w:val="clear" w:color="auto" w:fill="auto"/>
        <w:tabs>
          <w:tab w:val="left" w:pos="846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z w:val="28"/>
          <w:szCs w:val="28"/>
        </w:rPr>
        <w:t>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 xml:space="preserve"> (далее - Администрация).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Для целей настоящей Программы используются следующие основные термины и их определения:</w:t>
      </w:r>
    </w:p>
    <w:p>
      <w:pPr>
        <w:pStyle w:val="11"/>
        <w:shd w:val="clear" w:color="auto" w:fill="auto"/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отсутствие принуждения и рекомендательный характер мероприятий для подконтрольных субъектов;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784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направленность на выявление причин и факторов несоблюдения обязательных требований;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отсутствие организационной связи с мероприятиями по контролю.</w:t>
      </w:r>
    </w:p>
    <w:p>
      <w:pPr>
        <w:pStyle w:val="11"/>
        <w:shd w:val="clear" w:color="auto" w:fill="auto"/>
        <w:spacing w:before="0" w:after="0"/>
        <w:ind w:firstLine="580"/>
        <w:rPr>
          <w:sz w:val="28"/>
          <w:szCs w:val="28"/>
        </w:rPr>
      </w:pPr>
      <w:r>
        <w:rPr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>
      <w:pPr>
        <w:pStyle w:val="11"/>
        <w:shd w:val="clear" w:color="auto" w:fill="auto"/>
        <w:spacing w:before="0"/>
        <w:ind w:firstLine="580"/>
        <w:rPr>
          <w:sz w:val="28"/>
          <w:szCs w:val="28"/>
        </w:rPr>
      </w:pPr>
      <w:r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>
      <w:pPr>
        <w:pStyle w:val="11"/>
        <w:shd w:val="clear" w:color="auto" w:fill="auto"/>
        <w:spacing w:before="0" w:after="0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>
      <w:pPr>
        <w:pStyle w:val="11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/>
        <w:ind w:left="580"/>
        <w:rPr>
          <w:sz w:val="28"/>
          <w:szCs w:val="28"/>
        </w:rPr>
      </w:pPr>
      <w:r>
        <w:rPr>
          <w:sz w:val="28"/>
          <w:szCs w:val="28"/>
        </w:rPr>
        <w:t>Цели Программы:</w:t>
      </w:r>
    </w:p>
    <w:p>
      <w:pPr>
        <w:pStyle w:val="11"/>
        <w:numPr>
          <w:ilvl w:val="0"/>
          <w:numId w:val="3"/>
        </w:numPr>
        <w:shd w:val="clear" w:color="auto" w:fill="auto"/>
        <w:spacing w:before="0" w:after="0"/>
        <w:ind w:firstLine="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/>
        <w:ind w:left="580"/>
        <w:rPr>
          <w:sz w:val="28"/>
          <w:szCs w:val="28"/>
        </w:rPr>
      </w:pPr>
      <w:r>
        <w:rPr>
          <w:sz w:val="28"/>
          <w:szCs w:val="28"/>
        </w:rPr>
        <w:t>повышение уровня благоустройства, соблюдения чистоты и порядка;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/>
        <w:ind w:left="580"/>
        <w:rPr>
          <w:sz w:val="28"/>
          <w:szCs w:val="28"/>
        </w:rPr>
      </w:pPr>
      <w:r>
        <w:rPr>
          <w:sz w:val="28"/>
          <w:szCs w:val="28"/>
        </w:rPr>
        <w:t>предотвращение угрозы безопасности жизни и здоровья людей;</w:t>
      </w:r>
    </w:p>
    <w:p>
      <w:pPr>
        <w:pStyle w:val="11"/>
        <w:numPr>
          <w:ilvl w:val="0"/>
          <w:numId w:val="3"/>
        </w:numPr>
        <w:shd w:val="clear" w:color="auto" w:fill="auto"/>
        <w:spacing w:before="0" w:after="0"/>
        <w:ind w:firstLine="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увеличение доли хозяйствующих субъектов, соблюдающих требования в сфере благоустройства.</w:t>
      </w:r>
    </w:p>
    <w:p>
      <w:pPr>
        <w:pStyle w:val="11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/>
        <w:ind w:left="580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786"/>
        </w:tabs>
        <w:spacing w:before="0" w:after="0"/>
        <w:ind w:firstLine="580"/>
        <w:jc w:val="left"/>
        <w:rPr>
          <w:sz w:val="28"/>
          <w:szCs w:val="28"/>
        </w:rPr>
      </w:pPr>
      <w:r>
        <w:rPr>
          <w:sz w:val="28"/>
          <w:szCs w:val="28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>
      <w:pPr>
        <w:pStyle w:val="11"/>
        <w:numPr>
          <w:ilvl w:val="0"/>
          <w:numId w:val="3"/>
        </w:numPr>
        <w:shd w:val="clear" w:color="auto" w:fill="auto"/>
        <w:spacing w:before="0" w:after="0"/>
        <w:ind w:firstLine="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/>
        <w:ind w:left="580"/>
        <w:rPr>
          <w:sz w:val="28"/>
          <w:szCs w:val="28"/>
        </w:rPr>
      </w:pPr>
      <w:r>
        <w:rPr>
          <w:sz w:val="28"/>
          <w:szCs w:val="28"/>
        </w:rPr>
        <w:t>повышение прозрачности осуществляемой Администрацией контрольной деятельности;</w:t>
      </w:r>
    </w:p>
    <w:p>
      <w:pPr>
        <w:pStyle w:val="11"/>
        <w:numPr>
          <w:ilvl w:val="0"/>
          <w:numId w:val="3"/>
        </w:numPr>
        <w:shd w:val="clear" w:color="auto" w:fill="auto"/>
        <w:spacing w:before="0" w:after="0"/>
        <w:ind w:firstLine="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823"/>
        </w:tabs>
        <w:spacing w:before="0"/>
        <w:ind w:left="580"/>
        <w:rPr>
          <w:sz w:val="28"/>
          <w:szCs w:val="28"/>
        </w:rPr>
      </w:pPr>
      <w:r>
        <w:rPr>
          <w:sz w:val="28"/>
          <w:szCs w:val="28"/>
        </w:rPr>
        <w:t>создание системы консультирования и информирования подконтрольных субъектов.</w:t>
      </w:r>
    </w:p>
    <w:p>
      <w:pPr>
        <w:pStyle w:val="11"/>
        <w:shd w:val="clear" w:color="auto" w:fill="auto"/>
        <w:spacing w:before="0" w:after="0"/>
        <w:ind w:left="3100"/>
        <w:rPr>
          <w:b/>
          <w:sz w:val="28"/>
          <w:szCs w:val="28"/>
        </w:rPr>
      </w:pPr>
      <w:r>
        <w:rPr>
          <w:b/>
          <w:sz w:val="28"/>
          <w:szCs w:val="28"/>
        </w:rPr>
        <w:t>3. План мероприятий Программы</w:t>
      </w:r>
    </w:p>
    <w:p>
      <w:pPr>
        <w:pStyle w:val="11"/>
        <w:shd w:val="clear" w:color="auto" w:fill="auto"/>
        <w:spacing w:before="0" w:after="264"/>
        <w:ind w:firstLine="740"/>
        <w:rPr>
          <w:sz w:val="28"/>
          <w:szCs w:val="28"/>
        </w:rPr>
      </w:pPr>
      <w:r>
        <w:rPr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</w:t>
      </w:r>
      <w:r>
        <w:rPr>
          <w:rFonts w:hint="default"/>
          <w:sz w:val="28"/>
          <w:szCs w:val="28"/>
          <w:lang w:val="ru-RU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 и планируемый период (Приложение к Программе).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3430"/>
        </w:tabs>
        <w:spacing w:before="0" w:after="0" w:line="220" w:lineRule="exact"/>
        <w:ind w:left="3100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Программы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34"/>
        <w:gridCol w:w="3269"/>
      </w:tblGrid>
      <w:tr>
        <w:trPr>
          <w:trHeight w:val="648" w:hRule="exact"/>
          <w:jc w:val="center"/>
        </w:trPr>
        <w:tc>
          <w:tcPr>
            <w:tcW w:w="603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Показатель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Период, год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6" w:hRule="exact"/>
          <w:jc w:val="center"/>
        </w:trPr>
        <w:tc>
          <w:tcPr>
            <w:tcW w:w="60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3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Style w:val="12"/>
                <w:sz w:val="28"/>
                <w:szCs w:val="28"/>
              </w:rPr>
              <w:t>202</w:t>
            </w:r>
            <w:r>
              <w:rPr>
                <w:rStyle w:val="12"/>
                <w:rFonts w:hint="default"/>
                <w:sz w:val="28"/>
                <w:szCs w:val="28"/>
                <w:lang w:val="en-US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tcW w:w="60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exact"/>
          <w:jc w:val="center"/>
        </w:trPr>
        <w:tc>
          <w:tcPr>
            <w:tcW w:w="60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245" w:lineRule="exac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W w:w="60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exact"/>
          <w:jc w:val="center"/>
        </w:trPr>
        <w:tc>
          <w:tcPr>
            <w:tcW w:w="6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1</w:t>
            </w:r>
          </w:p>
        </w:tc>
      </w:tr>
    </w:tbl>
    <w:p>
      <w:pPr>
        <w:framePr w:w="9302" w:wrap="notBeside" w:vAnchor="text" w:hAnchor="text" w:xAlign="center" w:y="1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11"/>
        <w:shd w:val="clear" w:color="auto" w:fill="auto"/>
        <w:spacing w:before="191" w:after="248" w:line="254" w:lineRule="exact"/>
        <w:rPr>
          <w:sz w:val="28"/>
          <w:szCs w:val="28"/>
        </w:rPr>
      </w:pPr>
      <w:r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1035"/>
        </w:tabs>
        <w:spacing w:before="0" w:after="0" w:line="245" w:lineRule="exact"/>
        <w:ind w:firstLine="740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>
      <w:pPr>
        <w:pStyle w:val="11"/>
        <w:shd w:val="clear" w:color="auto" w:fill="auto"/>
        <w:spacing w:before="0" w:after="244" w:line="254" w:lineRule="exact"/>
        <w:ind w:left="4260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Приложение к 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 в сельском поселении </w:t>
      </w:r>
      <w:r>
        <w:rPr>
          <w:sz w:val="24"/>
          <w:szCs w:val="24"/>
          <w:lang w:val="ru-RU"/>
        </w:rPr>
        <w:t>Вата</w:t>
      </w:r>
    </w:p>
    <w:p>
      <w:pPr>
        <w:pStyle w:val="11"/>
        <w:shd w:val="clear" w:color="auto" w:fill="auto"/>
        <w:spacing w:before="0" w:after="0"/>
        <w:ind w:left="40"/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План мероприятий по профилактике нарушений в рамках осуществления муниципального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контроля в сфере благоустройства в сельском поселении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 xml:space="preserve">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</w:t>
      </w:r>
    </w:p>
    <w:tbl>
      <w:tblPr>
        <w:tblStyle w:val="3"/>
        <w:tblpPr w:leftFromText="180" w:rightFromText="180" w:vertAnchor="text" w:horzAnchor="margin" w:tblpXSpec="right" w:tblpY="713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5"/>
        <w:gridCol w:w="4579"/>
        <w:gridCol w:w="2126"/>
        <w:gridCol w:w="19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8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60" w:line="220" w:lineRule="exact"/>
              <w:ind w:left="2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№</w:t>
            </w:r>
          </w:p>
          <w:p>
            <w:pPr>
              <w:pStyle w:val="11"/>
              <w:shd w:val="clear" w:color="auto" w:fill="auto"/>
              <w:spacing w:before="60" w:after="0" w:line="220" w:lineRule="exact"/>
              <w:ind w:left="22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п/п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before="0" w:after="0" w:line="220" w:lineRule="exact"/>
              <w:ind w:left="26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Срок исполнения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120" w:line="220" w:lineRule="exact"/>
              <w:ind w:left="300"/>
              <w:jc w:val="left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Ответственный</w:t>
            </w:r>
          </w:p>
          <w:p>
            <w:pPr>
              <w:pStyle w:val="11"/>
              <w:shd w:val="clear" w:color="auto" w:fill="auto"/>
              <w:spacing w:before="120" w:after="0" w:line="220" w:lineRule="exact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исполнитель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46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20" w:lineRule="exact"/>
              <w:ind w:left="280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1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Размещение на официальном сайте администрации сельского поселения Зайцева Речка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1 раз в квартал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Специалисты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администрации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сельского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поселения Вата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2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20" w:lineRule="exact"/>
              <w:ind w:left="280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2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1 раз в квартал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Специалисты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администрации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сельского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поселения Вата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14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20" w:lineRule="exact"/>
              <w:ind w:left="280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3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581"/>
              </w:tabs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порядка проведения контрольных мероприятий;</w:t>
            </w:r>
          </w:p>
          <w:p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периодичности проведения контрольных мероприятий;</w:t>
            </w:r>
          </w:p>
          <w:p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370"/>
              </w:tabs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порядка принятия решений по итогам контрольных мероприятий;</w:t>
            </w:r>
          </w:p>
          <w:p>
            <w:pPr>
              <w:pStyle w:val="11"/>
              <w:numPr>
                <w:ilvl w:val="0"/>
                <w:numId w:val="5"/>
              </w:numPr>
              <w:shd w:val="clear" w:color="auto" w:fill="auto"/>
              <w:tabs>
                <w:tab w:val="left" w:pos="672"/>
              </w:tabs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порядка обжалования решений Контрольного органа.</w:t>
            </w:r>
          </w:p>
          <w:p>
            <w:pPr>
              <w:pStyle w:val="1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Консультирование контролируемых лиц и их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59" w:lineRule="exact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В течение года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Специалисты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администрации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сельского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поселения Вата</w:t>
            </w:r>
          </w:p>
        </w:tc>
      </w:tr>
    </w:tbl>
    <w:tbl>
      <w:tblPr>
        <w:tblStyle w:val="3"/>
        <w:tblpPr w:leftFromText="180" w:rightFromText="180" w:vertAnchor="text" w:horzAnchor="margin" w:tblpXSpec="right" w:tblpY="897"/>
        <w:tblOverlap w:val="never"/>
        <w:tblW w:w="930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5"/>
        <w:gridCol w:w="4579"/>
        <w:gridCol w:w="2126"/>
        <w:gridCol w:w="19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0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представителей:</w:t>
            </w:r>
          </w:p>
          <w:p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>
            <w:pPr>
              <w:pStyle w:val="11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>
            <w:pPr>
              <w:pStyle w:val="1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>
            <w:pPr>
              <w:pStyle w:val="1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Время разговора по телефону не должно превышать 10 минут.</w:t>
            </w:r>
          </w:p>
          <w:p>
            <w:pPr>
              <w:pStyle w:val="1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Письменное консультирование контролируемых лиц и их представителей.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/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2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2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4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 результатам внеплановых проверок 2 раза в год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Специалисты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администрации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сельского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поселения Вата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7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5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1 раз в квартал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Специалисты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администрации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сельского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поселения Вата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94" w:hRule="exact"/>
        </w:trPr>
        <w:tc>
          <w:tcPr>
            <w:tcW w:w="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20" w:lineRule="exact"/>
              <w:jc w:val="left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6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</w:t>
            </w:r>
            <w:r>
              <w:rPr>
                <w:rStyle w:val="12"/>
                <w:rFonts w:hint="default"/>
                <w:sz w:val="24"/>
                <w:szCs w:val="24"/>
                <w:lang w:val="en-US"/>
              </w:rPr>
              <w:t>4</w:t>
            </w:r>
            <w:r>
              <w:rPr>
                <w:rStyle w:val="12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4 квартал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Специалисты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администрации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сельского</w:t>
            </w:r>
          </w:p>
          <w:p>
            <w:pPr>
              <w:pStyle w:val="11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Поселения</w:t>
            </w:r>
            <w:r>
              <w:rPr>
                <w:rStyle w:val="12"/>
                <w:rFonts w:hint="defaul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2"/>
                <w:sz w:val="24"/>
                <w:szCs w:val="24"/>
              </w:rPr>
              <w:t>Вата</w:t>
            </w:r>
          </w:p>
        </w:tc>
      </w:tr>
    </w:tbl>
    <w:p>
      <w:pPr>
        <w:pStyle w:val="11"/>
        <w:shd w:val="clear" w:color="auto" w:fill="auto"/>
        <w:spacing w:before="0" w:after="0"/>
        <w:ind w:left="40"/>
        <w:jc w:val="center"/>
        <w:rPr>
          <w:sz w:val="28"/>
          <w:szCs w:val="28"/>
        </w:rPr>
      </w:pPr>
    </w:p>
    <w:p>
      <w:pPr>
        <w:framePr w:w="9307" w:wrap="notBeside" w:vAnchor="text" w:hAnchor="text" w:xAlign="center" w:y="1"/>
      </w:pPr>
    </w:p>
    <w:p>
      <w:pPr>
        <w:framePr w:w="9307" w:wrap="notBeside" w:vAnchor="text" w:hAnchor="text" w:xAlign="center" w:y="1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16"/>
        <w:shd w:val="clear" w:color="auto" w:fill="auto"/>
        <w:ind w:left="4640"/>
      </w:pPr>
    </w:p>
    <w:sectPr>
      <w:pgSz w:w="11900" w:h="16840"/>
      <w:pgMar w:top="1079" w:right="546" w:bottom="1201" w:left="1518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91637E"/>
    <w:multiLevelType w:val="multilevel"/>
    <w:tmpl w:val="0091637E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22B6C89"/>
    <w:multiLevelType w:val="multilevel"/>
    <w:tmpl w:val="022B6C89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2977E07"/>
    <w:multiLevelType w:val="multilevel"/>
    <w:tmpl w:val="02977E07"/>
    <w:lvl w:ilvl="0" w:tentative="0">
      <w:start w:val="1"/>
      <w:numFmt w:val="decimal"/>
      <w:lvlText w:val="2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209E10D8"/>
    <w:multiLevelType w:val="multilevel"/>
    <w:tmpl w:val="209E10D8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34A02D7E"/>
    <w:multiLevelType w:val="multilevel"/>
    <w:tmpl w:val="34A02D7E"/>
    <w:lvl w:ilvl="0" w:tentative="0">
      <w:start w:val="1"/>
      <w:numFmt w:val="decimal"/>
      <w:lvlText w:val="1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5A1F2B0A"/>
    <w:multiLevelType w:val="multilevel"/>
    <w:tmpl w:val="5A1F2B0A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BB"/>
    <w:rsid w:val="0004542C"/>
    <w:rsid w:val="0007682F"/>
    <w:rsid w:val="001B7910"/>
    <w:rsid w:val="00261018"/>
    <w:rsid w:val="002A72EA"/>
    <w:rsid w:val="00322CAA"/>
    <w:rsid w:val="004C18F3"/>
    <w:rsid w:val="00560A38"/>
    <w:rsid w:val="00924BBB"/>
    <w:rsid w:val="00A222D3"/>
    <w:rsid w:val="00D17A86"/>
    <w:rsid w:val="00F446A6"/>
    <w:rsid w:val="3F4733D6"/>
    <w:rsid w:val="691C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Sans Serif" w:hAnsi="Microsoft Sans Serif" w:eastAsia="Microsoft Sans Serif" w:cs="Microsoft Sans Serif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Microsoft Sans Serif" w:hAnsi="Microsoft Sans Serif" w:eastAsia="Microsoft Sans Serif" w:cs="Microsoft Sans Serif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66CC"/>
      <w:u w:val="single"/>
    </w:rPr>
  </w:style>
  <w:style w:type="character" w:customStyle="1" w:styleId="5">
    <w:name w:val="Основной текст (3) Exact"/>
    <w:basedOn w:val="2"/>
    <w:qFormat/>
    <w:uiPriority w:val="0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character" w:customStyle="1" w:styleId="6">
    <w:name w:val="Заголовок №1_"/>
    <w:basedOn w:val="2"/>
    <w:link w:val="7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7">
    <w:name w:val="Заголовок №1"/>
    <w:basedOn w:val="1"/>
    <w:link w:val="6"/>
    <w:qFormat/>
    <w:uiPriority w:val="0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8">
    <w:name w:val="Основной текст (3)_"/>
    <w:basedOn w:val="2"/>
    <w:link w:val="9"/>
    <w:qFormat/>
    <w:uiPriority w:val="0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paragraph" w:customStyle="1" w:styleId="9">
    <w:name w:val="Основной текст (3)"/>
    <w:basedOn w:val="1"/>
    <w:link w:val="8"/>
    <w:qFormat/>
    <w:uiPriority w:val="0"/>
    <w:pPr>
      <w:shd w:val="clear" w:color="auto" w:fill="FFFFFF"/>
      <w:spacing w:before="780" w:after="660" w:line="0" w:lineRule="atLeast"/>
      <w:jc w:val="both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customStyle="1" w:styleId="10">
    <w:name w:val="Основной текст (2)_"/>
    <w:basedOn w:val="2"/>
    <w:link w:val="11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paragraph" w:customStyle="1" w:styleId="11">
    <w:name w:val="Основной текст (2)1"/>
    <w:basedOn w:val="1"/>
    <w:link w:val="10"/>
    <w:qFormat/>
    <w:uiPriority w:val="0"/>
    <w:pPr>
      <w:shd w:val="clear" w:color="auto" w:fill="FFFFFF"/>
      <w:spacing w:before="240" w:after="240" w:line="250" w:lineRule="exact"/>
      <w:jc w:val="both"/>
    </w:pPr>
    <w:rPr>
      <w:rFonts w:ascii="Times New Roman" w:hAnsi="Times New Roman" w:eastAsia="Times New Roman" w:cs="Times New Roman"/>
      <w:sz w:val="22"/>
      <w:szCs w:val="22"/>
    </w:rPr>
  </w:style>
  <w:style w:type="character" w:customStyle="1" w:styleId="12">
    <w:name w:val="Основной текст (2)"/>
    <w:basedOn w:val="10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Подпись к таблице_"/>
    <w:basedOn w:val="2"/>
    <w:link w:val="14"/>
    <w:qFormat/>
    <w:uiPriority w:val="0"/>
    <w:rPr>
      <w:rFonts w:ascii="Segoe UI" w:hAnsi="Segoe UI" w:eastAsia="Segoe UI" w:cs="Segoe UI"/>
      <w:sz w:val="16"/>
      <w:szCs w:val="16"/>
      <w:u w:val="none"/>
    </w:rPr>
  </w:style>
  <w:style w:type="paragraph" w:customStyle="1" w:styleId="14">
    <w:name w:val="Подпись к таблице"/>
    <w:basedOn w:val="1"/>
    <w:link w:val="13"/>
    <w:qFormat/>
    <w:uiPriority w:val="0"/>
    <w:pPr>
      <w:shd w:val="clear" w:color="auto" w:fill="FFFFFF"/>
      <w:spacing w:line="216" w:lineRule="exact"/>
    </w:pPr>
    <w:rPr>
      <w:rFonts w:ascii="Segoe UI" w:hAnsi="Segoe UI" w:eastAsia="Segoe UI" w:cs="Segoe UI"/>
      <w:sz w:val="16"/>
      <w:szCs w:val="16"/>
    </w:rPr>
  </w:style>
  <w:style w:type="character" w:customStyle="1" w:styleId="15">
    <w:name w:val="Основной текст (4)_"/>
    <w:basedOn w:val="2"/>
    <w:link w:val="16"/>
    <w:qFormat/>
    <w:uiPriority w:val="0"/>
    <w:rPr>
      <w:rFonts w:ascii="Segoe UI" w:hAnsi="Segoe UI" w:eastAsia="Segoe UI" w:cs="Segoe UI"/>
      <w:sz w:val="22"/>
      <w:szCs w:val="22"/>
      <w:u w:val="none"/>
    </w:rPr>
  </w:style>
  <w:style w:type="paragraph" w:customStyle="1" w:styleId="16">
    <w:name w:val="Основной текст (4)"/>
    <w:basedOn w:val="1"/>
    <w:link w:val="15"/>
    <w:uiPriority w:val="0"/>
    <w:pPr>
      <w:shd w:val="clear" w:color="auto" w:fill="FFFFFF"/>
      <w:spacing w:line="312" w:lineRule="exact"/>
    </w:pPr>
    <w:rPr>
      <w:rFonts w:ascii="Segoe UI" w:hAnsi="Segoe UI" w:eastAsia="Segoe UI" w:cs="Segoe UI"/>
      <w:sz w:val="22"/>
      <w:szCs w:val="22"/>
    </w:rPr>
  </w:style>
  <w:style w:type="character" w:customStyle="1" w:styleId="17">
    <w:name w:val="Заголовок №2_"/>
    <w:basedOn w:val="2"/>
    <w:link w:val="18"/>
    <w:qFormat/>
    <w:uiPriority w:val="0"/>
    <w:rPr>
      <w:rFonts w:ascii="Times New Roman" w:hAnsi="Times New Roman" w:eastAsia="Times New Roman" w:cs="Times New Roman"/>
      <w:b/>
      <w:bCs/>
      <w:sz w:val="22"/>
      <w:szCs w:val="22"/>
      <w:shd w:val="clear" w:color="auto" w:fill="FFFFFF"/>
    </w:rPr>
  </w:style>
  <w:style w:type="paragraph" w:customStyle="1" w:styleId="18">
    <w:name w:val="Заголовок №2"/>
    <w:basedOn w:val="1"/>
    <w:link w:val="17"/>
    <w:qFormat/>
    <w:uiPriority w:val="0"/>
    <w:pPr>
      <w:shd w:val="clear" w:color="auto" w:fill="FFFFFF"/>
      <w:spacing w:before="720" w:after="540" w:line="0" w:lineRule="atLeast"/>
      <w:outlineLvl w:val="1"/>
    </w:pPr>
    <w:rPr>
      <w:rFonts w:ascii="Times New Roman" w:hAnsi="Times New Roman" w:eastAsia="Times New Roman" w:cs="Times New Roman"/>
      <w:b/>
      <w:bCs/>
      <w:color w:val="auto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1592</Words>
  <Characters>9077</Characters>
  <Lines>75</Lines>
  <Paragraphs>21</Paragraphs>
  <TotalTime>25</TotalTime>
  <ScaleCrop>false</ScaleCrop>
  <LinksUpToDate>false</LinksUpToDate>
  <CharactersWithSpaces>10648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2023-01-27T06:52:00Z</dcterms:created>
  <dc:creator>1</dc:creator>
  <cp:lastModifiedBy>Ra G</cp:lastModifiedBy>
  <dcterms:modified xsi:type="dcterms:W3CDTF">2023-09-27T10:13:18Z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CB4E0549DA2249F0A8782D92048700D4</vt:lpwstr>
  </property>
</Properties>
</file>