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30" w:rsidRDefault="00C10F30" w:rsidP="00C10F30">
      <w:pPr>
        <w:ind w:left="2880" w:right="-96" w:hanging="2880"/>
        <w:jc w:val="right"/>
        <w:rPr>
          <w:b/>
          <w:bCs/>
          <w:sz w:val="28"/>
        </w:rPr>
      </w:pPr>
    </w:p>
    <w:p w:rsidR="00C10F30" w:rsidRDefault="00C10F30" w:rsidP="00C10F30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B04C48">
        <w:rPr>
          <w:sz w:val="28"/>
          <w:szCs w:val="28"/>
        </w:rPr>
        <w:t>.0</w:t>
      </w:r>
      <w:r w:rsidR="00C10F30">
        <w:rPr>
          <w:sz w:val="28"/>
          <w:szCs w:val="28"/>
        </w:rPr>
        <w:t>9</w:t>
      </w:r>
      <w:r w:rsidR="00780236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B04C48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    </w:t>
      </w:r>
      <w:r w:rsidR="003753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</w:t>
      </w:r>
    </w:p>
    <w:p w:rsidR="00A5509B" w:rsidRDefault="00A5509B" w:rsidP="00A5509B">
      <w:pPr>
        <w:ind w:firstLine="540"/>
      </w:pPr>
    </w:p>
    <w:p w:rsidR="00097B7E" w:rsidRPr="00EB3DAB" w:rsidRDefault="00097B7E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>О</w:t>
      </w:r>
      <w:r w:rsidR="00AE3FB6">
        <w:rPr>
          <w:sz w:val="28"/>
          <w:szCs w:val="28"/>
        </w:rPr>
        <w:t>б</w:t>
      </w:r>
      <w:r w:rsidRPr="00302084">
        <w:rPr>
          <w:sz w:val="28"/>
          <w:szCs w:val="28"/>
        </w:rPr>
        <w:t xml:space="preserve"> некоторы</w:t>
      </w:r>
      <w:r w:rsidR="00AE3FB6">
        <w:rPr>
          <w:sz w:val="28"/>
          <w:szCs w:val="28"/>
        </w:rPr>
        <w:t>х</w:t>
      </w:r>
      <w:r w:rsidRPr="00302084">
        <w:rPr>
          <w:sz w:val="28"/>
          <w:szCs w:val="28"/>
        </w:rPr>
        <w:t xml:space="preserve"> постановлени</w:t>
      </w:r>
      <w:r w:rsidR="00AE3FB6">
        <w:rPr>
          <w:sz w:val="28"/>
          <w:szCs w:val="28"/>
        </w:rPr>
        <w:t>й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B04C48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4C48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Pr="00302084" w:rsidRDefault="00302084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64DDB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Постановление администрации от</w:t>
      </w:r>
      <w:r>
        <w:rPr>
          <w:sz w:val="28"/>
          <w:szCs w:val="28"/>
        </w:rPr>
        <w:t xml:space="preserve"> 28.12.15</w:t>
      </w:r>
      <w:r w:rsidRPr="00AE3FB6">
        <w:rPr>
          <w:sz w:val="28"/>
          <w:szCs w:val="28"/>
        </w:rPr>
        <w:t xml:space="preserve">  № </w:t>
      </w:r>
      <w:r>
        <w:rPr>
          <w:sz w:val="28"/>
          <w:szCs w:val="28"/>
        </w:rPr>
        <w:t>119</w:t>
      </w:r>
      <w:r w:rsidRPr="00AE3FB6">
        <w:rPr>
          <w:sz w:val="28"/>
          <w:szCs w:val="28"/>
        </w:rPr>
        <w:t xml:space="preserve"> «Об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торгах»» признать утратившим силу</w:t>
      </w:r>
      <w:r w:rsidR="006E3A9D" w:rsidRPr="00AE3FB6">
        <w:rPr>
          <w:sz w:val="28"/>
          <w:szCs w:val="28"/>
        </w:rPr>
        <w:t>.</w:t>
      </w:r>
    </w:p>
    <w:p w:rsidR="00FC27FB" w:rsidRPr="00AE3FB6" w:rsidRDefault="00FC27FB" w:rsidP="00FC27FB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28.12.15</w:t>
      </w:r>
      <w:r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120</w:t>
      </w:r>
      <w:r w:rsidRPr="00AE3FB6">
        <w:rPr>
          <w:sz w:val="28"/>
          <w:szCs w:val="28"/>
        </w:rPr>
        <w:t xml:space="preserve"> «</w:t>
      </w:r>
      <w:r w:rsidRPr="00AE3FB6">
        <w:rPr>
          <w:sz w:val="28"/>
          <w:szCs w:val="28"/>
        </w:rPr>
        <w:t>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pStyle w:val="a3"/>
        <w:rPr>
          <w:sz w:val="28"/>
          <w:szCs w:val="28"/>
        </w:rPr>
      </w:pPr>
    </w:p>
    <w:p w:rsidR="00FC27FB" w:rsidRPr="00AE3FB6" w:rsidRDefault="00FC27FB" w:rsidP="00FC27FB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28.12.15</w:t>
      </w:r>
      <w:r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123</w:t>
      </w:r>
      <w:r w:rsidRPr="00AE3FB6">
        <w:rPr>
          <w:sz w:val="28"/>
          <w:szCs w:val="28"/>
        </w:rPr>
        <w:t xml:space="preserve"> «</w:t>
      </w:r>
      <w:r w:rsidRPr="00AE3FB6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AE3FB6" w:rsidRDefault="00FC27FB" w:rsidP="00FC27FB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C27FB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7FB">
        <w:rPr>
          <w:sz w:val="28"/>
          <w:szCs w:val="28"/>
        </w:rPr>
        <w:t xml:space="preserve">Постановление администрации от </w:t>
      </w:r>
      <w:r w:rsidRPr="00FC27FB">
        <w:rPr>
          <w:sz w:val="28"/>
          <w:szCs w:val="28"/>
        </w:rPr>
        <w:t>28.12.15</w:t>
      </w:r>
      <w:r w:rsidRPr="00FC27FB">
        <w:rPr>
          <w:sz w:val="28"/>
          <w:szCs w:val="28"/>
        </w:rPr>
        <w:t xml:space="preserve"> №</w:t>
      </w:r>
      <w:r w:rsidRPr="00FC27FB">
        <w:rPr>
          <w:sz w:val="28"/>
          <w:szCs w:val="28"/>
        </w:rPr>
        <w:t xml:space="preserve"> 124</w:t>
      </w:r>
      <w:r w:rsidRPr="00FC27FB">
        <w:rPr>
          <w:sz w:val="28"/>
          <w:szCs w:val="28"/>
        </w:rPr>
        <w:t xml:space="preserve">  «</w:t>
      </w:r>
      <w:r w:rsidRPr="00FC27F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использование земель или земельного участка, </w:t>
      </w:r>
      <w:r w:rsidRPr="00FC27FB">
        <w:rPr>
          <w:sz w:val="28"/>
          <w:szCs w:val="28"/>
        </w:rPr>
        <w:lastRenderedPageBreak/>
        <w:t>находящихся в муниципальной собственности или государственная собственность на которые не разграничена»</w:t>
      </w:r>
      <w:r w:rsidRPr="00FC27FB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pStyle w:val="a3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27FB">
        <w:rPr>
          <w:sz w:val="28"/>
          <w:szCs w:val="28"/>
        </w:rPr>
        <w:t xml:space="preserve">Постановление администрации от </w:t>
      </w:r>
      <w:r w:rsidR="009C0BDE" w:rsidRPr="00FC27FB">
        <w:rPr>
          <w:sz w:val="28"/>
          <w:szCs w:val="28"/>
        </w:rPr>
        <w:t>28.12.15</w:t>
      </w:r>
      <w:r w:rsidRPr="00FC27FB">
        <w:rPr>
          <w:sz w:val="28"/>
          <w:szCs w:val="28"/>
        </w:rPr>
        <w:t xml:space="preserve"> №</w:t>
      </w:r>
      <w:r w:rsidR="009C0BDE" w:rsidRPr="00FC27FB">
        <w:rPr>
          <w:sz w:val="28"/>
          <w:szCs w:val="28"/>
        </w:rPr>
        <w:t xml:space="preserve"> 125</w:t>
      </w:r>
      <w:r w:rsidRPr="00FC27FB">
        <w:rPr>
          <w:sz w:val="28"/>
          <w:szCs w:val="28"/>
        </w:rPr>
        <w:t xml:space="preserve">  «</w:t>
      </w:r>
      <w:r w:rsidR="009C0BDE" w:rsidRPr="00FC27FB">
        <w:rPr>
          <w:sz w:val="28"/>
          <w:szCs w:val="28"/>
        </w:rPr>
        <w:t>Об утверждении административного 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</w:r>
      <w:r w:rsidRPr="00FC27FB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pStyle w:val="a3"/>
        <w:tabs>
          <w:tab w:val="left" w:pos="142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Постановление администрации от</w:t>
      </w:r>
      <w:r w:rsidR="009C0BDE">
        <w:rPr>
          <w:sz w:val="28"/>
          <w:szCs w:val="28"/>
        </w:rPr>
        <w:t xml:space="preserve"> 29.12.15</w:t>
      </w:r>
      <w:r w:rsidRPr="00AE3FB6">
        <w:rPr>
          <w:sz w:val="28"/>
          <w:szCs w:val="28"/>
        </w:rPr>
        <w:t xml:space="preserve"> № </w:t>
      </w:r>
      <w:r w:rsidR="009C0BDE">
        <w:rPr>
          <w:sz w:val="28"/>
          <w:szCs w:val="28"/>
        </w:rPr>
        <w:t>126</w:t>
      </w:r>
      <w:r w:rsidRPr="00AE3FB6">
        <w:rPr>
          <w:sz w:val="28"/>
          <w:szCs w:val="28"/>
        </w:rPr>
        <w:t xml:space="preserve"> «</w:t>
      </w:r>
      <w:r w:rsidR="00FC27FB"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Постановление администрации от</w:t>
      </w:r>
      <w:r w:rsidR="00FC27FB">
        <w:rPr>
          <w:sz w:val="28"/>
          <w:szCs w:val="28"/>
        </w:rPr>
        <w:t xml:space="preserve"> 29.12.15</w:t>
      </w:r>
      <w:r w:rsidRPr="00AE3FB6">
        <w:rPr>
          <w:sz w:val="28"/>
          <w:szCs w:val="28"/>
        </w:rPr>
        <w:t xml:space="preserve"> №</w:t>
      </w:r>
      <w:r w:rsidR="00FC27FB">
        <w:rPr>
          <w:sz w:val="28"/>
          <w:szCs w:val="28"/>
        </w:rPr>
        <w:t xml:space="preserve"> 127</w:t>
      </w:r>
      <w:r w:rsidRPr="00AE3FB6">
        <w:rPr>
          <w:sz w:val="28"/>
          <w:szCs w:val="28"/>
        </w:rPr>
        <w:t xml:space="preserve"> «</w:t>
      </w:r>
      <w:r w:rsidR="00FC27FB"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Постановление администрации от</w:t>
      </w:r>
      <w:r w:rsidR="00FC27FB">
        <w:rPr>
          <w:sz w:val="28"/>
          <w:szCs w:val="28"/>
        </w:rPr>
        <w:t xml:space="preserve"> 29.12.15</w:t>
      </w:r>
      <w:r w:rsidRPr="00AE3FB6">
        <w:rPr>
          <w:sz w:val="28"/>
          <w:szCs w:val="28"/>
        </w:rPr>
        <w:t xml:space="preserve">  №</w:t>
      </w:r>
      <w:r w:rsidR="00FC27FB">
        <w:rPr>
          <w:sz w:val="28"/>
          <w:szCs w:val="28"/>
        </w:rPr>
        <w:t xml:space="preserve"> 128</w:t>
      </w:r>
      <w:r w:rsidRPr="00AE3FB6">
        <w:rPr>
          <w:sz w:val="28"/>
          <w:szCs w:val="28"/>
        </w:rPr>
        <w:t xml:space="preserve"> «</w:t>
      </w:r>
      <w:r w:rsidR="00FC27FB"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FB6" w:rsidRDefault="00AE3FB6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3FB6">
        <w:rPr>
          <w:sz w:val="28"/>
          <w:szCs w:val="28"/>
        </w:rPr>
        <w:t>Постановление администрации от</w:t>
      </w:r>
      <w:r w:rsidR="00FC27FB">
        <w:rPr>
          <w:sz w:val="28"/>
          <w:szCs w:val="28"/>
        </w:rPr>
        <w:t xml:space="preserve"> 29.12.15</w:t>
      </w:r>
      <w:r w:rsidRPr="00AE3FB6">
        <w:rPr>
          <w:sz w:val="28"/>
          <w:szCs w:val="28"/>
        </w:rPr>
        <w:t xml:space="preserve"> № </w:t>
      </w:r>
      <w:r w:rsidR="00FC27FB">
        <w:rPr>
          <w:sz w:val="28"/>
          <w:szCs w:val="28"/>
        </w:rPr>
        <w:t>129</w:t>
      </w:r>
      <w:r w:rsidRPr="00AE3FB6">
        <w:rPr>
          <w:sz w:val="28"/>
          <w:szCs w:val="28"/>
        </w:rPr>
        <w:t xml:space="preserve"> «</w:t>
      </w:r>
      <w:r w:rsidR="00FC27FB"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FB6" w:rsidRDefault="00FC27FB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FB6" w:rsidRPr="00AE3FB6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29.12.15</w:t>
      </w:r>
      <w:r w:rsidR="00AE3FB6"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130</w:t>
      </w:r>
      <w:r w:rsidR="00AE3FB6" w:rsidRPr="00AE3FB6">
        <w:rPr>
          <w:sz w:val="28"/>
          <w:szCs w:val="28"/>
        </w:rPr>
        <w:t xml:space="preserve"> «</w:t>
      </w:r>
      <w:r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«Отнесение земель или земельных участков, находящихся в муниципальной собственности или государственная собственно</w:t>
      </w:r>
      <w:bookmarkStart w:id="0" w:name="_GoBack"/>
      <w:bookmarkEnd w:id="0"/>
      <w:r w:rsidRPr="00FC27FB">
        <w:rPr>
          <w:sz w:val="28"/>
          <w:szCs w:val="28"/>
        </w:rPr>
        <w:t>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="00AE3FB6" w:rsidRPr="00AE3FB6">
        <w:rPr>
          <w:sz w:val="28"/>
          <w:szCs w:val="28"/>
        </w:rPr>
        <w:t>» признать утратившим силу.</w:t>
      </w:r>
    </w:p>
    <w:p w:rsidR="00FC27FB" w:rsidRPr="00FC27FB" w:rsidRDefault="00FC27FB" w:rsidP="00FC27FB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3FB6" w:rsidRPr="00AE3FB6" w:rsidRDefault="00FC27FB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FB6" w:rsidRPr="00AE3FB6">
        <w:rPr>
          <w:sz w:val="28"/>
          <w:szCs w:val="28"/>
        </w:rPr>
        <w:t>Постановление администрации от</w:t>
      </w:r>
      <w:r>
        <w:rPr>
          <w:sz w:val="28"/>
          <w:szCs w:val="28"/>
        </w:rPr>
        <w:t xml:space="preserve"> 13.01.16</w:t>
      </w:r>
      <w:r w:rsidR="00AE3FB6"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AE3FB6" w:rsidRPr="00AE3FB6">
        <w:rPr>
          <w:sz w:val="28"/>
          <w:szCs w:val="28"/>
        </w:rPr>
        <w:t xml:space="preserve"> «</w:t>
      </w:r>
      <w:r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</w:r>
      <w:r w:rsidR="00AE3FB6" w:rsidRPr="00AE3FB6">
        <w:rPr>
          <w:sz w:val="28"/>
          <w:szCs w:val="28"/>
        </w:rPr>
        <w:t>» признать утратившим силу.</w:t>
      </w:r>
    </w:p>
    <w:p w:rsidR="00AE3FB6" w:rsidRDefault="00FC27FB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3FB6" w:rsidRPr="00AE3FB6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28.01.16</w:t>
      </w:r>
      <w:r w:rsidR="00AE3FB6"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="00AE3FB6" w:rsidRPr="00AE3FB6">
        <w:rPr>
          <w:sz w:val="28"/>
          <w:szCs w:val="28"/>
        </w:rPr>
        <w:t xml:space="preserve"> «</w:t>
      </w:r>
      <w:r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AE3FB6" w:rsidRPr="00AE3FB6">
        <w:rPr>
          <w:sz w:val="28"/>
          <w:szCs w:val="28"/>
        </w:rPr>
        <w:t>» признать утратившим силу.</w:t>
      </w:r>
    </w:p>
    <w:p w:rsidR="00FC27FB" w:rsidRPr="00AE3FB6" w:rsidRDefault="00FC27FB" w:rsidP="00FC27FB">
      <w:pPr>
        <w:pStyle w:val="a3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AE3FB6" w:rsidRPr="00AE3FB6" w:rsidRDefault="00FC27FB" w:rsidP="00FC27FB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FB6" w:rsidRPr="00AE3FB6">
        <w:rPr>
          <w:sz w:val="28"/>
          <w:szCs w:val="28"/>
        </w:rPr>
        <w:t xml:space="preserve">Постановление администрации от </w:t>
      </w:r>
      <w:r>
        <w:rPr>
          <w:sz w:val="28"/>
          <w:szCs w:val="28"/>
        </w:rPr>
        <w:t>18.10.16</w:t>
      </w:r>
      <w:r w:rsidR="00AE3FB6" w:rsidRPr="00AE3FB6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="00AE3FB6" w:rsidRPr="00AE3FB6">
        <w:rPr>
          <w:sz w:val="28"/>
          <w:szCs w:val="28"/>
        </w:rPr>
        <w:t xml:space="preserve"> «</w:t>
      </w:r>
      <w:r w:rsidRPr="00FC27F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AE3FB6" w:rsidRPr="00AE3FB6">
        <w:rPr>
          <w:sz w:val="28"/>
          <w:szCs w:val="28"/>
        </w:rPr>
        <w:t>» признать утратившим силу.</w:t>
      </w:r>
    </w:p>
    <w:p w:rsidR="00A7072F" w:rsidRDefault="00A7072F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09B" w:rsidRDefault="00FC27FB" w:rsidP="00FC27F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509B">
        <w:rPr>
          <w:sz w:val="28"/>
          <w:szCs w:val="28"/>
        </w:rPr>
        <w:t xml:space="preserve">.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FC27FB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</w:p>
    <w:p w:rsidR="00A5509B" w:rsidRDefault="00FC27FB" w:rsidP="00FC27FB">
      <w:pPr>
        <w:tabs>
          <w:tab w:val="left" w:pos="14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</w:t>
      </w:r>
      <w:r w:rsidR="00096587">
        <w:rPr>
          <w:sz w:val="28"/>
          <w:szCs w:val="28"/>
        </w:rPr>
        <w:t xml:space="preserve">    </w:t>
      </w:r>
      <w:r w:rsidR="00797D45">
        <w:rPr>
          <w:sz w:val="28"/>
          <w:szCs w:val="28"/>
        </w:rPr>
        <w:t xml:space="preserve">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4A0D81" w:rsidRDefault="004A0D81"/>
    <w:p w:rsidR="004A0D81" w:rsidRPr="004A0D81" w:rsidRDefault="004A0D81" w:rsidP="004A0D81"/>
    <w:sectPr w:rsidR="004A0D81" w:rsidRPr="004A0D81" w:rsidSect="009C75DB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D81A24"/>
    <w:multiLevelType w:val="hybridMultilevel"/>
    <w:tmpl w:val="0FAC7862"/>
    <w:lvl w:ilvl="0" w:tplc="2B6659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6587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0BDE"/>
    <w:rsid w:val="009C125B"/>
    <w:rsid w:val="009C1CA5"/>
    <w:rsid w:val="009C22A1"/>
    <w:rsid w:val="009C35EB"/>
    <w:rsid w:val="009C466E"/>
    <w:rsid w:val="009C492E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3FB6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0F30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7FB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Евгений</cp:lastModifiedBy>
  <cp:revision>20</cp:revision>
  <cp:lastPrinted>2017-08-25T02:44:00Z</cp:lastPrinted>
  <dcterms:created xsi:type="dcterms:W3CDTF">2017-07-18T06:29:00Z</dcterms:created>
  <dcterms:modified xsi:type="dcterms:W3CDTF">2017-09-12T08:58:00Z</dcterms:modified>
</cp:coreProperties>
</file>